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A10" w:rsidRDefault="004C5A10" w:rsidP="004C5A10">
      <w:pPr>
        <w:rPr>
          <w:rFonts w:ascii="Arial Narrow" w:hAnsi="Arial Narrow"/>
          <w:color w:val="0000FF"/>
        </w:rPr>
      </w:pPr>
      <w:r>
        <w:rPr>
          <w:rFonts w:ascii="Arial Narrow" w:hAnsi="Arial Narrow"/>
          <w:b/>
        </w:rPr>
        <w:t xml:space="preserve">DOSSIER D’APPEL D’OFFRES NATIONAL OUVERT DNCMP/         446      /F/2023-2024 RELATIF A  LA FOURNITURE  DES INGREDIENTS POUR  FABRICATION DES ALIMENTS CONCENTRES DES BOVINS, PORCS, ET VOLAILLES. </w:t>
      </w:r>
    </w:p>
    <w:p w:rsidR="004C5A10" w:rsidRDefault="004C5A10" w:rsidP="004C5A10">
      <w:pPr>
        <w:jc w:val="both"/>
        <w:rPr>
          <w:rFonts w:ascii="Arial Narrow" w:hAnsi="Arial Narrow"/>
          <w:color w:val="0000FF"/>
        </w:rPr>
      </w:pPr>
      <w:r>
        <w:rPr>
          <w:rFonts w:ascii="Arial Narrow" w:hAnsi="Arial Narrow"/>
          <w:color w:val="0000FF"/>
        </w:rPr>
        <w:t xml:space="preserve"> </w:t>
      </w:r>
    </w:p>
    <w:p w:rsidR="004C5A10" w:rsidRPr="004C5A10" w:rsidRDefault="004C5A10" w:rsidP="004C5A10">
      <w:pPr>
        <w:numPr>
          <w:ilvl w:val="0"/>
          <w:numId w:val="1"/>
        </w:numPr>
        <w:rPr>
          <w:rFonts w:ascii="Arial Narrow" w:hAnsi="Arial Narrow"/>
          <w:b/>
        </w:rPr>
      </w:pPr>
      <w:r>
        <w:rPr>
          <w:rFonts w:ascii="Arial Narrow" w:hAnsi="Arial Narrow"/>
          <w:b/>
        </w:rPr>
        <w:t>Date de publication</w:t>
      </w:r>
      <w:r>
        <w:rPr>
          <w:rFonts w:ascii="Arial Narrow" w:hAnsi="Arial Narrow"/>
          <w:b/>
        </w:rPr>
        <w:tab/>
      </w:r>
      <w:r>
        <w:rPr>
          <w:rFonts w:ascii="Arial Narrow" w:hAnsi="Arial Narrow"/>
          <w:b/>
        </w:rPr>
        <w:tab/>
        <w:t>: 01/04/ 2025</w:t>
      </w:r>
    </w:p>
    <w:p w:rsidR="004C5A10" w:rsidRPr="004C5A10" w:rsidRDefault="004C5A10" w:rsidP="004C5A10">
      <w:pPr>
        <w:numPr>
          <w:ilvl w:val="0"/>
          <w:numId w:val="1"/>
        </w:numPr>
        <w:rPr>
          <w:rFonts w:ascii="Arial Narrow" w:hAnsi="Arial Narrow"/>
          <w:b/>
        </w:rPr>
      </w:pPr>
      <w:r>
        <w:rPr>
          <w:rFonts w:ascii="Arial Narrow" w:hAnsi="Arial Narrow"/>
          <w:b/>
        </w:rPr>
        <w:t>Date d’ouverture des offres     21</w:t>
      </w:r>
      <w:proofErr w:type="gramStart"/>
      <w:r>
        <w:rPr>
          <w:rFonts w:ascii="Arial Narrow" w:hAnsi="Arial Narrow"/>
          <w:b/>
        </w:rPr>
        <w:t>./</w:t>
      </w:r>
      <w:proofErr w:type="gramEnd"/>
      <w:r>
        <w:rPr>
          <w:rFonts w:ascii="Arial Narrow" w:hAnsi="Arial Narrow"/>
          <w:b/>
        </w:rPr>
        <w:t>04/ 2025</w:t>
      </w:r>
    </w:p>
    <w:p w:rsidR="004C5A10" w:rsidRPr="004C5A10" w:rsidRDefault="004C5A10" w:rsidP="004C5A10">
      <w:pPr>
        <w:numPr>
          <w:ilvl w:val="0"/>
          <w:numId w:val="2"/>
        </w:numPr>
        <w:jc w:val="both"/>
        <w:rPr>
          <w:rFonts w:ascii="Arial Narrow" w:hAnsi="Arial Narrow"/>
          <w:b/>
        </w:rPr>
      </w:pPr>
      <w:r>
        <w:rPr>
          <w:rFonts w:ascii="Arial Narrow" w:hAnsi="Arial Narrow"/>
          <w:b/>
        </w:rPr>
        <w:t>Objet</w:t>
      </w:r>
    </w:p>
    <w:p w:rsidR="004C5A10" w:rsidRPr="004C5A10" w:rsidRDefault="004C5A10" w:rsidP="004C5A10">
      <w:pPr>
        <w:rPr>
          <w:rFonts w:ascii="Arial Narrow" w:hAnsi="Arial Narrow"/>
          <w:color w:val="0000FF"/>
        </w:rPr>
      </w:pPr>
      <w:r>
        <w:rPr>
          <w:rFonts w:ascii="Arial Narrow" w:hAnsi="Arial Narrow"/>
        </w:rPr>
        <w:t xml:space="preserve">Le Ministère de l’Environnement, de l’Agriculture et de l’Elevage a obtenu du Gouvernement de la République du Burundi le financement pour son programme d’intensification du Secteur de l’Elevage sur le Budget Général de l’Etat exercice 2024-2025. Une partie des sommes accordées au titre de ce programme sera utilisée pour effectuer les paiements prévus dans le cadre de l’exécution du marché pour la fourniture  des ingrédients pour la fabrication des aliments concentres  des bovins, porcs et  volailles. </w:t>
      </w:r>
    </w:p>
    <w:p w:rsidR="004C5A10" w:rsidRDefault="004C5A10" w:rsidP="004C5A10">
      <w:pPr>
        <w:numPr>
          <w:ilvl w:val="0"/>
          <w:numId w:val="2"/>
        </w:numPr>
        <w:jc w:val="both"/>
        <w:rPr>
          <w:rFonts w:ascii="Arial Narrow" w:hAnsi="Arial Narrow"/>
          <w:b/>
        </w:rPr>
      </w:pPr>
      <w:r>
        <w:rPr>
          <w:rFonts w:ascii="Arial Narrow" w:hAnsi="Arial Narrow"/>
          <w:b/>
        </w:rPr>
        <w:t>Financement du marché</w:t>
      </w:r>
    </w:p>
    <w:p w:rsidR="004C5A10" w:rsidRDefault="004C5A10" w:rsidP="004C5A10">
      <w:pPr>
        <w:jc w:val="both"/>
        <w:rPr>
          <w:rFonts w:ascii="Arial Narrow" w:hAnsi="Arial Narrow"/>
        </w:rPr>
      </w:pPr>
      <w:r>
        <w:rPr>
          <w:rFonts w:ascii="Arial Narrow" w:hAnsi="Arial Narrow"/>
          <w:b/>
        </w:rPr>
        <w:t xml:space="preserve"> </w:t>
      </w:r>
      <w:r>
        <w:rPr>
          <w:rFonts w:ascii="Arial Narrow" w:hAnsi="Arial Narrow"/>
        </w:rPr>
        <w:t xml:space="preserve"> Le présent marché est financé par le Gouvernement de la République du Burundi, à travers la rubrique «Projet de développement de chaîne de valeur bovine, porcine, et avicole au Burundi » </w:t>
      </w:r>
      <w:r>
        <w:rPr>
          <w:rFonts w:ascii="Arial Narrow" w:hAnsi="Arial Narrow"/>
          <w:b/>
        </w:rPr>
        <w:t>40 00 001 00 4 21180 11 000 0427 01 exercice 2024-2025</w:t>
      </w:r>
    </w:p>
    <w:p w:rsidR="004C5A10" w:rsidRPr="004C5A10" w:rsidRDefault="004C5A10" w:rsidP="004C5A10">
      <w:pPr>
        <w:numPr>
          <w:ilvl w:val="0"/>
          <w:numId w:val="2"/>
        </w:numPr>
        <w:jc w:val="both"/>
        <w:rPr>
          <w:rFonts w:ascii="Arial Narrow" w:hAnsi="Arial Narrow"/>
          <w:b/>
        </w:rPr>
      </w:pPr>
      <w:r>
        <w:rPr>
          <w:rFonts w:ascii="Arial Narrow" w:hAnsi="Arial Narrow"/>
          <w:b/>
        </w:rPr>
        <w:t>Spécification du marché</w:t>
      </w:r>
    </w:p>
    <w:p w:rsidR="004C5A10" w:rsidRDefault="004C5A10" w:rsidP="004C5A10">
      <w:pPr>
        <w:jc w:val="both"/>
        <w:rPr>
          <w:rFonts w:ascii="Arial Narrow" w:hAnsi="Arial Narrow"/>
        </w:rPr>
      </w:pPr>
      <w:r>
        <w:rPr>
          <w:rFonts w:ascii="Arial Narrow" w:hAnsi="Arial Narrow"/>
        </w:rPr>
        <w:t>Le marché est constitué d’un lot.</w:t>
      </w:r>
    </w:p>
    <w:p w:rsidR="004C5A10" w:rsidRDefault="004C5A10" w:rsidP="004C5A10">
      <w:pPr>
        <w:jc w:val="both"/>
        <w:rPr>
          <w:rFonts w:ascii="Arial Narrow" w:hAnsi="Arial Narrow"/>
        </w:rPr>
      </w:pPr>
      <w:r>
        <w:rPr>
          <w:rFonts w:ascii="Arial Narrow" w:hAnsi="Arial Narrow"/>
        </w:rPr>
        <w:t xml:space="preserve">Les soumissionnaires peuvent déposer leurs offres pour un seul lot et il est indépendant et lors de l’analyse, on considérera le soumissionnaire le moins disant. </w:t>
      </w:r>
    </w:p>
    <w:p w:rsidR="004C5A10" w:rsidRPr="004C5A10" w:rsidRDefault="004C5A10" w:rsidP="004C5A10">
      <w:pPr>
        <w:numPr>
          <w:ilvl w:val="0"/>
          <w:numId w:val="2"/>
        </w:numPr>
        <w:jc w:val="both"/>
        <w:rPr>
          <w:rFonts w:ascii="Arial Narrow" w:hAnsi="Arial Narrow"/>
          <w:b/>
        </w:rPr>
      </w:pPr>
      <w:r>
        <w:rPr>
          <w:rFonts w:ascii="Arial Narrow" w:hAnsi="Arial Narrow"/>
          <w:b/>
        </w:rPr>
        <w:t xml:space="preserve">Délai d’exécution </w:t>
      </w:r>
    </w:p>
    <w:p w:rsidR="004C5A10" w:rsidRDefault="004C5A10" w:rsidP="004C5A10">
      <w:pPr>
        <w:jc w:val="both"/>
        <w:rPr>
          <w:rFonts w:ascii="Arial Narrow" w:hAnsi="Arial Narrow"/>
        </w:rPr>
      </w:pPr>
      <w:r>
        <w:rPr>
          <w:rFonts w:ascii="Arial Narrow" w:hAnsi="Arial Narrow"/>
        </w:rPr>
        <w:t>L’ensemble des fournitures sont à livrer dans un délai maximum de Soixante jours (60) calendaires comptés à partir de la réception de la lettre de commande.</w:t>
      </w:r>
    </w:p>
    <w:p w:rsidR="004C5A10" w:rsidRPr="004C5A10" w:rsidRDefault="004C5A10" w:rsidP="004C5A10">
      <w:pPr>
        <w:numPr>
          <w:ilvl w:val="0"/>
          <w:numId w:val="2"/>
        </w:numPr>
        <w:jc w:val="both"/>
        <w:rPr>
          <w:rFonts w:ascii="Arial Narrow" w:hAnsi="Arial Narrow"/>
          <w:b/>
        </w:rPr>
      </w:pPr>
      <w:r>
        <w:rPr>
          <w:rFonts w:ascii="Arial Narrow" w:hAnsi="Arial Narrow"/>
          <w:b/>
        </w:rPr>
        <w:t>Condition de participation</w:t>
      </w:r>
    </w:p>
    <w:p w:rsidR="004C5A10" w:rsidRDefault="004C5A10" w:rsidP="004C5A10">
      <w:pPr>
        <w:jc w:val="both"/>
        <w:rPr>
          <w:rFonts w:ascii="Arial Narrow" w:hAnsi="Arial Narrow"/>
        </w:rPr>
      </w:pPr>
      <w:r>
        <w:rPr>
          <w:rFonts w:ascii="Arial Narrow" w:hAnsi="Arial Narrow"/>
        </w:rPr>
        <w:t>La participation au marché est ouverte, à égalité de conditions, à toutes les personnes physiques et morales qu’elles participent à titre individuel ou dans le cadre d’un groupement (consortium).</w:t>
      </w:r>
    </w:p>
    <w:p w:rsidR="004C5A10" w:rsidRDefault="004C5A10" w:rsidP="004C5A10">
      <w:pPr>
        <w:jc w:val="both"/>
        <w:rPr>
          <w:rFonts w:ascii="Arial Narrow" w:hAnsi="Arial Narrow"/>
        </w:rPr>
      </w:pPr>
      <w:r>
        <w:rPr>
          <w:rFonts w:ascii="Arial Narrow" w:hAnsi="Arial Narrow"/>
        </w:rPr>
        <w:t xml:space="preserve">Ne peut participer à l’Appel d’Offres tout soumissionnaire concerné par l’une des règles d’incapacité énuméré à l’article </w:t>
      </w:r>
      <w:r>
        <w:rPr>
          <w:rFonts w:ascii="Arial Narrow" w:hAnsi="Arial Narrow"/>
          <w:color w:val="000000"/>
        </w:rPr>
        <w:t>161 du Code des Marchés Publics</w:t>
      </w:r>
      <w:r>
        <w:rPr>
          <w:rFonts w:ascii="Arial Narrow" w:hAnsi="Arial Narrow"/>
          <w:color w:val="FF0000"/>
        </w:rPr>
        <w:t>.</w:t>
      </w:r>
    </w:p>
    <w:p w:rsidR="004C5A10" w:rsidRDefault="004C5A10" w:rsidP="004C5A10">
      <w:pPr>
        <w:numPr>
          <w:ilvl w:val="0"/>
          <w:numId w:val="2"/>
        </w:numPr>
        <w:jc w:val="both"/>
        <w:rPr>
          <w:rFonts w:ascii="Arial Narrow" w:hAnsi="Arial Narrow"/>
          <w:b/>
        </w:rPr>
      </w:pPr>
      <w:r>
        <w:rPr>
          <w:rFonts w:ascii="Arial Narrow" w:hAnsi="Arial Narrow"/>
          <w:b/>
        </w:rPr>
        <w:t>Consultation et acquisition du Dossier d’Appel d’Offres</w:t>
      </w:r>
    </w:p>
    <w:p w:rsidR="004C5A10" w:rsidRDefault="004C5A10" w:rsidP="004C5A10">
      <w:pPr>
        <w:jc w:val="both"/>
        <w:rPr>
          <w:rFonts w:ascii="Arial Narrow" w:hAnsi="Arial Narrow"/>
        </w:rPr>
      </w:pPr>
      <w:r>
        <w:rPr>
          <w:rFonts w:ascii="Arial Narrow" w:hAnsi="Arial Narrow"/>
          <w:b/>
        </w:rPr>
        <w:t xml:space="preserve"> </w:t>
      </w:r>
      <w:r>
        <w:rPr>
          <w:rFonts w:ascii="Arial Narrow" w:hAnsi="Arial Narrow"/>
        </w:rPr>
        <w:t xml:space="preserve">Le dossier d’appel d’offres peut être obtenu au secrétariat de la Direction de la Promotion des Filières Animales (DPFA) sis au Laboratoire   moyennant le paiement d’un montant non remboursable de </w:t>
      </w:r>
      <w:r>
        <w:rPr>
          <w:rFonts w:ascii="Arial Narrow" w:hAnsi="Arial Narrow"/>
          <w:b/>
        </w:rPr>
        <w:t>Cinquante mille francs (50 000Fbu)</w:t>
      </w:r>
      <w:r>
        <w:rPr>
          <w:rFonts w:ascii="Arial Narrow" w:hAnsi="Arial Narrow"/>
        </w:rPr>
        <w:t xml:space="preserve"> au sous compte de transit des recettes non fiscales n° 1101/001 ouvert à la BRB.</w:t>
      </w:r>
    </w:p>
    <w:p w:rsidR="004C5A10" w:rsidRDefault="004C5A10" w:rsidP="004C5A10">
      <w:pPr>
        <w:jc w:val="both"/>
        <w:rPr>
          <w:rFonts w:ascii="Arial Narrow" w:hAnsi="Arial Narrow"/>
          <w:b/>
        </w:rPr>
      </w:pPr>
      <w:r>
        <w:rPr>
          <w:rFonts w:ascii="Arial Narrow" w:hAnsi="Arial Narrow"/>
        </w:rPr>
        <w:lastRenderedPageBreak/>
        <w:t>Les offres doivent être rédigées en langue française et uniquement au moyen d’un formulaire de soumission type inclus dans le dossier d’appel d’offres, dont les dispositions et le format doivent être strictement respectés.</w:t>
      </w:r>
      <w:r>
        <w:rPr>
          <w:rFonts w:ascii="Arial Narrow" w:hAnsi="Arial Narrow"/>
          <w:b/>
        </w:rPr>
        <w:t xml:space="preserve"> </w:t>
      </w:r>
    </w:p>
    <w:p w:rsidR="004C5A10" w:rsidRPr="004C5A10" w:rsidRDefault="004C5A10" w:rsidP="004C5A10">
      <w:pPr>
        <w:numPr>
          <w:ilvl w:val="0"/>
          <w:numId w:val="2"/>
        </w:numPr>
        <w:jc w:val="both"/>
        <w:rPr>
          <w:rFonts w:ascii="Arial Narrow" w:hAnsi="Arial Narrow"/>
          <w:b/>
        </w:rPr>
      </w:pPr>
      <w:r>
        <w:rPr>
          <w:rFonts w:ascii="Arial Narrow" w:hAnsi="Arial Narrow"/>
          <w:b/>
        </w:rPr>
        <w:t xml:space="preserve">Demande d’éclaircissements </w:t>
      </w:r>
    </w:p>
    <w:p w:rsidR="004C5A10" w:rsidRDefault="004C5A10" w:rsidP="004C5A10">
      <w:pPr>
        <w:jc w:val="both"/>
        <w:rPr>
          <w:rFonts w:ascii="Arial Narrow" w:hAnsi="Arial Narrow"/>
        </w:rPr>
      </w:pPr>
      <w:r>
        <w:rPr>
          <w:rFonts w:ascii="Arial Narrow" w:hAnsi="Arial Narrow"/>
        </w:rPr>
        <w:t xml:space="preserve">Toute question concernant le présent appel d’offres doit être adressée par écrit à la Direction de la Promotion des filières Animales, en mentionnant la référence de publication indiquée en haut de la page, au moins 10 jours avant la date limite de remise des offres. </w:t>
      </w:r>
    </w:p>
    <w:p w:rsidR="004C5A10" w:rsidRPr="004C5A10" w:rsidRDefault="004C5A10" w:rsidP="004C5A10">
      <w:pPr>
        <w:numPr>
          <w:ilvl w:val="0"/>
          <w:numId w:val="2"/>
        </w:numPr>
        <w:jc w:val="both"/>
        <w:rPr>
          <w:rFonts w:ascii="Arial Narrow" w:hAnsi="Arial Narrow"/>
          <w:b/>
        </w:rPr>
      </w:pPr>
      <w:r>
        <w:rPr>
          <w:rFonts w:ascii="Arial Narrow" w:hAnsi="Arial Narrow"/>
          <w:b/>
        </w:rPr>
        <w:t>Présentation de l’offre</w:t>
      </w:r>
    </w:p>
    <w:p w:rsidR="004C5A10" w:rsidRDefault="004C5A10" w:rsidP="004C5A10">
      <w:pPr>
        <w:jc w:val="both"/>
        <w:rPr>
          <w:rFonts w:ascii="Arial Narrow" w:hAnsi="Arial Narrow"/>
        </w:rPr>
      </w:pPr>
      <w:r>
        <w:rPr>
          <w:rFonts w:ascii="Arial Narrow" w:hAnsi="Arial Narrow"/>
        </w:rPr>
        <w:t>Les offres doivent être rédigées en langue française, et uniquement au moyen des formulaires de soumission type inclus dans le dossier d’appel d’offre, dont les dispositions et le format doivent être strictement respectés. Elles doivent être paginées, paraphées et comprendre une table de matières.</w:t>
      </w:r>
    </w:p>
    <w:p w:rsidR="004C5A10" w:rsidRPr="004C5A10" w:rsidRDefault="004C5A10" w:rsidP="004C5A10">
      <w:pPr>
        <w:numPr>
          <w:ilvl w:val="0"/>
          <w:numId w:val="2"/>
        </w:numPr>
        <w:jc w:val="both"/>
        <w:rPr>
          <w:rFonts w:ascii="Arial Narrow" w:hAnsi="Arial Narrow"/>
          <w:b/>
        </w:rPr>
      </w:pPr>
      <w:r>
        <w:rPr>
          <w:rFonts w:ascii="Arial Narrow" w:hAnsi="Arial Narrow"/>
          <w:b/>
        </w:rPr>
        <w:t xml:space="preserve">Garantie bancaire des offres </w:t>
      </w:r>
    </w:p>
    <w:p w:rsidR="004C5A10" w:rsidRDefault="004C5A10" w:rsidP="004C5A10">
      <w:pPr>
        <w:jc w:val="both"/>
        <w:rPr>
          <w:rFonts w:ascii="Arial Narrow" w:hAnsi="Arial Narrow"/>
        </w:rPr>
      </w:pPr>
      <w:r>
        <w:rPr>
          <w:rFonts w:ascii="Arial Narrow" w:hAnsi="Arial Narrow"/>
        </w:rPr>
        <w:t xml:space="preserve">La garantie de soumission exigée pour toute commande est de : </w:t>
      </w:r>
      <w:r>
        <w:rPr>
          <w:rFonts w:ascii="Arial Narrow" w:hAnsi="Arial Narrow"/>
          <w:b/>
        </w:rPr>
        <w:t>Six millions de francs Burundais (6.000.000Fbu).</w:t>
      </w:r>
    </w:p>
    <w:p w:rsidR="004C5A10" w:rsidRDefault="004C5A10" w:rsidP="004C5A10">
      <w:pPr>
        <w:jc w:val="both"/>
        <w:rPr>
          <w:rFonts w:ascii="Arial Narrow" w:hAnsi="Arial Narrow"/>
        </w:rPr>
      </w:pPr>
      <w:r>
        <w:rPr>
          <w:rFonts w:ascii="Arial Narrow" w:hAnsi="Arial Narrow"/>
        </w:rPr>
        <w:t>Cette garantie sera exprimée sous forme d’une garantie bancaire établie suivant le modèle indiqué dans le présent DAO.</w:t>
      </w:r>
    </w:p>
    <w:p w:rsidR="004C5A10" w:rsidRPr="004C5A10" w:rsidRDefault="004C5A10" w:rsidP="004C5A10">
      <w:pPr>
        <w:numPr>
          <w:ilvl w:val="0"/>
          <w:numId w:val="2"/>
        </w:numPr>
        <w:jc w:val="both"/>
        <w:rPr>
          <w:rFonts w:ascii="Arial Narrow" w:hAnsi="Arial Narrow"/>
          <w:b/>
        </w:rPr>
      </w:pPr>
      <w:r>
        <w:rPr>
          <w:rFonts w:ascii="Arial Narrow" w:hAnsi="Arial Narrow"/>
          <w:b/>
        </w:rPr>
        <w:t>Date limite de dépôt des offres</w:t>
      </w:r>
    </w:p>
    <w:p w:rsidR="004C5A10" w:rsidRDefault="004C5A10" w:rsidP="004C5A10">
      <w:pPr>
        <w:jc w:val="both"/>
        <w:rPr>
          <w:rFonts w:ascii="Arial Narrow" w:hAnsi="Arial Narrow"/>
        </w:rPr>
      </w:pPr>
      <w:r>
        <w:rPr>
          <w:rFonts w:ascii="Arial Narrow" w:hAnsi="Arial Narrow"/>
        </w:rPr>
        <w:t>Toutes les offres doivent être déposées au secrétariat de la Direction de la Promotion des Filières Animales (DPFA) sis au Laboratoire Nationale Vétérinaire de Bujumbura  au plus tard le 21 /04./2025 à 10 heures locales.</w:t>
      </w:r>
    </w:p>
    <w:p w:rsidR="004C5A10" w:rsidRPr="004C5A10" w:rsidRDefault="004C5A10" w:rsidP="004C5A10">
      <w:pPr>
        <w:numPr>
          <w:ilvl w:val="0"/>
          <w:numId w:val="2"/>
        </w:numPr>
        <w:jc w:val="both"/>
        <w:rPr>
          <w:rFonts w:ascii="Arial Narrow" w:hAnsi="Arial Narrow"/>
          <w:b/>
        </w:rPr>
      </w:pPr>
      <w:r>
        <w:rPr>
          <w:rFonts w:ascii="Arial Narrow" w:hAnsi="Arial Narrow"/>
          <w:b/>
        </w:rPr>
        <w:t>Séance d’ouverture des offres</w:t>
      </w:r>
    </w:p>
    <w:p w:rsidR="004C5A10" w:rsidRDefault="004C5A10" w:rsidP="004C5A10">
      <w:pPr>
        <w:jc w:val="both"/>
        <w:rPr>
          <w:rFonts w:ascii="Arial Narrow" w:hAnsi="Arial Narrow"/>
        </w:rPr>
      </w:pPr>
      <w:r>
        <w:rPr>
          <w:rFonts w:ascii="Arial Narrow" w:hAnsi="Arial Narrow"/>
        </w:rPr>
        <w:t xml:space="preserve">Les offres seront ouvertes en présence des soumissionnaires qui souhaitent être présents à l’ouverture ou de leurs représentants et d’un représentant de la DNCMP, le 21./04/2025 à 10 heures locales au secrétariat de la DPFA sis au Laboratoire Nationale Vétérinaire de Bujumbura. </w:t>
      </w:r>
    </w:p>
    <w:p w:rsidR="004C5A10" w:rsidRDefault="004C5A10" w:rsidP="004C5A10">
      <w:pPr>
        <w:jc w:val="both"/>
        <w:rPr>
          <w:rFonts w:ascii="Arial Narrow" w:hAnsi="Arial Narrow"/>
        </w:rPr>
      </w:pPr>
      <w:r>
        <w:rPr>
          <w:rFonts w:ascii="Arial Narrow" w:hAnsi="Arial Narrow"/>
        </w:rPr>
        <w:t>Les offres devront être soumises au secrétariat de la DPFA sis au Laboratoire Nationale Vétérinaire de Bujumbura à 10 heures locales. Les offres remises en retard ne seront pas acceptées [recevables].</w:t>
      </w:r>
    </w:p>
    <w:p w:rsidR="004C5A10" w:rsidRPr="004C5A10" w:rsidRDefault="004C5A10" w:rsidP="004C5A10">
      <w:pPr>
        <w:numPr>
          <w:ilvl w:val="0"/>
          <w:numId w:val="2"/>
        </w:numPr>
        <w:jc w:val="both"/>
        <w:rPr>
          <w:rFonts w:ascii="Arial Narrow" w:hAnsi="Arial Narrow"/>
          <w:b/>
        </w:rPr>
      </w:pPr>
      <w:r>
        <w:rPr>
          <w:rFonts w:ascii="Arial Narrow" w:hAnsi="Arial Narrow"/>
          <w:b/>
        </w:rPr>
        <w:t>Validité des offres</w:t>
      </w:r>
    </w:p>
    <w:p w:rsidR="004C5A10" w:rsidRPr="004C5A10" w:rsidRDefault="004C5A10" w:rsidP="004C5A10">
      <w:pPr>
        <w:numPr>
          <w:ilvl w:val="0"/>
          <w:numId w:val="2"/>
        </w:numPr>
        <w:jc w:val="both"/>
        <w:rPr>
          <w:rFonts w:ascii="Arial Narrow" w:hAnsi="Arial Narrow"/>
          <w:b/>
        </w:rPr>
      </w:pPr>
      <w:r>
        <w:rPr>
          <w:rFonts w:ascii="Arial Narrow" w:hAnsi="Arial Narrow"/>
        </w:rPr>
        <w:t>Les offres sont valables pendant une période de 90 jours calendaires  à compter de la date limite de remise des offres.</w:t>
      </w:r>
    </w:p>
    <w:p w:rsidR="004C5A10" w:rsidRPr="004C5A10" w:rsidRDefault="004C5A10" w:rsidP="004C5A10">
      <w:pPr>
        <w:numPr>
          <w:ilvl w:val="0"/>
          <w:numId w:val="2"/>
        </w:numPr>
        <w:jc w:val="both"/>
        <w:rPr>
          <w:rFonts w:ascii="Arial Narrow" w:hAnsi="Arial Narrow"/>
        </w:rPr>
      </w:pPr>
      <w:r>
        <w:rPr>
          <w:rFonts w:ascii="Arial Narrow" w:hAnsi="Arial Narrow"/>
        </w:rPr>
        <w:t>Toute offre reçue après la date limite ne sera pas prise en considération.</w:t>
      </w:r>
    </w:p>
    <w:p w:rsidR="004C5A10" w:rsidRDefault="004C5A10" w:rsidP="004C5A10">
      <w:pPr>
        <w:ind w:left="720"/>
        <w:jc w:val="both"/>
        <w:rPr>
          <w:rFonts w:ascii="Arial Narrow" w:hAnsi="Arial Narrow"/>
          <w:b/>
        </w:rPr>
      </w:pPr>
    </w:p>
    <w:sectPr w:rsidR="004C5A10" w:rsidSect="00CB47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70797"/>
    <w:multiLevelType w:val="multilevel"/>
    <w:tmpl w:val="07D6E81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608650FC"/>
    <w:multiLevelType w:val="multilevel"/>
    <w:tmpl w:val="14126FE4"/>
    <w:lvl w:ilvl="0">
      <w:start w:val="1"/>
      <w:numFmt w:val="decimal"/>
      <w:lvlText w:val="%1."/>
      <w:lvlJc w:val="left"/>
      <w:pPr>
        <w:tabs>
          <w:tab w:val="left" w:pos="0"/>
          <w:tab w:val="left" w:pos="245"/>
          <w:tab w:val="num" w:pos="720"/>
        </w:tabs>
        <w:ind w:left="720" w:hanging="360"/>
      </w:pPr>
      <w:rPr>
        <w:rFonts w:ascii="Times New Roman" w:hAnsi="Times New Roman" w:cs="Times New Roman" w:hint="default"/>
        <w:b w:val="0"/>
      </w:rPr>
    </w:lvl>
    <w:lvl w:ilvl="1">
      <w:start w:val="1"/>
      <w:numFmt w:val="decimal"/>
      <w:lvlText w:val="%2."/>
      <w:lvlJc w:val="left"/>
      <w:pPr>
        <w:tabs>
          <w:tab w:val="left" w:pos="0"/>
          <w:tab w:val="left" w:pos="734"/>
          <w:tab w:val="num" w:pos="1440"/>
        </w:tabs>
        <w:ind w:left="1440" w:hanging="360"/>
      </w:pPr>
      <w:rPr>
        <w:rFonts w:ascii="Times New Roman" w:hAnsi="Times New Roman" w:cs="Times New Roman" w:hint="default"/>
      </w:rPr>
    </w:lvl>
    <w:lvl w:ilvl="2">
      <w:start w:val="1"/>
      <w:numFmt w:val="decimal"/>
      <w:lvlText w:val="%3."/>
      <w:lvlJc w:val="left"/>
      <w:pPr>
        <w:tabs>
          <w:tab w:val="left" w:pos="0"/>
          <w:tab w:val="left" w:pos="1467"/>
          <w:tab w:val="num" w:pos="2160"/>
        </w:tabs>
        <w:ind w:left="2160" w:hanging="360"/>
      </w:pPr>
      <w:rPr>
        <w:rFonts w:ascii="Times New Roman" w:hAnsi="Times New Roman" w:cs="Times New Roman" w:hint="default"/>
      </w:rPr>
    </w:lvl>
    <w:lvl w:ilvl="3">
      <w:start w:val="1"/>
      <w:numFmt w:val="decimal"/>
      <w:lvlText w:val="%4."/>
      <w:lvlJc w:val="left"/>
      <w:pPr>
        <w:tabs>
          <w:tab w:val="left" w:pos="0"/>
          <w:tab w:val="left" w:pos="1956"/>
          <w:tab w:val="num" w:pos="2880"/>
        </w:tabs>
        <w:ind w:left="2880" w:hanging="360"/>
      </w:pPr>
      <w:rPr>
        <w:rFonts w:ascii="Times New Roman" w:hAnsi="Times New Roman" w:cs="Times New Roman" w:hint="default"/>
      </w:rPr>
    </w:lvl>
    <w:lvl w:ilvl="4">
      <w:start w:val="1"/>
      <w:numFmt w:val="decimal"/>
      <w:lvlText w:val="%5."/>
      <w:lvlJc w:val="left"/>
      <w:pPr>
        <w:tabs>
          <w:tab w:val="left" w:pos="0"/>
          <w:tab w:val="left" w:pos="2445"/>
          <w:tab w:val="num" w:pos="3600"/>
        </w:tabs>
        <w:ind w:left="3600" w:hanging="360"/>
      </w:pPr>
      <w:rPr>
        <w:rFonts w:ascii="Times New Roman" w:hAnsi="Times New Roman" w:cs="Times New Roman" w:hint="default"/>
      </w:rPr>
    </w:lvl>
    <w:lvl w:ilvl="5">
      <w:start w:val="1"/>
      <w:numFmt w:val="decimal"/>
      <w:lvlText w:val="%6."/>
      <w:lvlJc w:val="left"/>
      <w:pPr>
        <w:tabs>
          <w:tab w:val="left" w:pos="0"/>
          <w:tab w:val="left" w:pos="2934"/>
          <w:tab w:val="num" w:pos="4320"/>
        </w:tabs>
        <w:ind w:left="4320" w:hanging="360"/>
      </w:pPr>
      <w:rPr>
        <w:rFonts w:ascii="Times New Roman" w:hAnsi="Times New Roman" w:cs="Times New Roman" w:hint="default"/>
      </w:rPr>
    </w:lvl>
    <w:lvl w:ilvl="6">
      <w:start w:val="1"/>
      <w:numFmt w:val="decimal"/>
      <w:lvlText w:val="%7."/>
      <w:lvlJc w:val="left"/>
      <w:pPr>
        <w:tabs>
          <w:tab w:val="left" w:pos="0"/>
          <w:tab w:val="left" w:pos="3423"/>
          <w:tab w:val="num" w:pos="5040"/>
        </w:tabs>
        <w:ind w:left="5040" w:hanging="360"/>
      </w:pPr>
      <w:rPr>
        <w:rFonts w:ascii="Times New Roman" w:hAnsi="Times New Roman" w:cs="Times New Roman" w:hint="default"/>
      </w:rPr>
    </w:lvl>
    <w:lvl w:ilvl="7">
      <w:start w:val="1"/>
      <w:numFmt w:val="decimal"/>
      <w:lvlText w:val="%8."/>
      <w:lvlJc w:val="left"/>
      <w:pPr>
        <w:tabs>
          <w:tab w:val="left" w:pos="0"/>
          <w:tab w:val="left" w:pos="3912"/>
          <w:tab w:val="num" w:pos="5760"/>
        </w:tabs>
        <w:ind w:left="5760" w:hanging="360"/>
      </w:pPr>
      <w:rPr>
        <w:rFonts w:ascii="Times New Roman" w:hAnsi="Times New Roman" w:cs="Times New Roman" w:hint="default"/>
      </w:rPr>
    </w:lvl>
    <w:lvl w:ilvl="8">
      <w:start w:val="1"/>
      <w:numFmt w:val="decimal"/>
      <w:lvlText w:val="%9."/>
      <w:lvlJc w:val="left"/>
      <w:pPr>
        <w:tabs>
          <w:tab w:val="left" w:pos="0"/>
          <w:tab w:val="left" w:pos="4402"/>
          <w:tab w:val="num" w:pos="6480"/>
        </w:tabs>
        <w:ind w:left="6480" w:hanging="360"/>
      </w:pPr>
      <w:rPr>
        <w:rFonts w:ascii="Times New Roman" w:hAnsi="Times New Roman" w:cs="Times New Roman" w:hint="default"/>
      </w:rPr>
    </w:lvl>
  </w:abstractNum>
  <w:abstractNum w:abstractNumId="2">
    <w:nsid w:val="6EFB693A"/>
    <w:multiLevelType w:val="multilevel"/>
    <w:tmpl w:val="4912B60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nsid w:val="705C43F1"/>
    <w:multiLevelType w:val="multilevel"/>
    <w:tmpl w:val="69B025DC"/>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C5A10"/>
    <w:rsid w:val="004C5A10"/>
    <w:rsid w:val="00CB47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A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Paragraph">
    <w:name w:val="List Paragraph"/>
    <w:basedOn w:val="Normal"/>
    <w:rsid w:val="004C5A10"/>
    <w:pPr>
      <w:contextualSpacing/>
    </w:pPr>
  </w:style>
  <w:style w:type="paragraph" w:customStyle="1" w:styleId="NoSpacing">
    <w:name w:val="No Spacing"/>
    <w:basedOn w:val="Normal"/>
    <w:rsid w:val="004C5A10"/>
    <w:rPr>
      <w:rFonts w:ascii="Calibri" w:hAnsi="Calibri"/>
    </w:rPr>
  </w:style>
</w:styles>
</file>

<file path=word/webSettings.xml><?xml version="1.0" encoding="utf-8"?>
<w:webSettings xmlns:r="http://schemas.openxmlformats.org/officeDocument/2006/relationships" xmlns:w="http://schemas.openxmlformats.org/wordprocessingml/2006/main">
  <w:divs>
    <w:div w:id="15166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659</Words>
  <Characters>3628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2025-04-02T12:07:00Z</dcterms:created>
  <dcterms:modified xsi:type="dcterms:W3CDTF">2025-04-02T12:17:00Z</dcterms:modified>
</cp:coreProperties>
</file>